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“陇原剑”杯第二届全省政法优秀新闻作品推荐表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06"/>
        <w:gridCol w:w="214"/>
        <w:gridCol w:w="175"/>
        <w:gridCol w:w="1981"/>
        <w:gridCol w:w="1437"/>
        <w:gridCol w:w="110"/>
        <w:gridCol w:w="740"/>
        <w:gridCol w:w="88"/>
        <w:gridCol w:w="525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26" w:type="dxa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作品标题</w:t>
            </w:r>
          </w:p>
        </w:tc>
        <w:tc>
          <w:tcPr>
            <w:tcW w:w="35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参评项目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626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体裁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626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语种</w:t>
            </w:r>
          </w:p>
        </w:tc>
        <w:tc>
          <w:tcPr>
            <w:tcW w:w="29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  者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（主创人员）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作品字数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（时长）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w w:val="95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  <w:t>文字作品填报字数以WORD“字数统计”栏“字数”项为准。音视频作品填报时长。系列报道项目文字作品分别填报3件代表作字数；音视频作品填报整组报道的平均时长。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刊播单位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刊播日期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w w:val="95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  <w:t>填报×月×日×时×分，系列（连续）报道填写起止日期。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62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作品网址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  <w:t>仅限网络和媒体融合类作品填报。媒体融合类请另附作品二维码页。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发布账号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（APP）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w w:val="95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  <w:t>仅限媒体融合类作品填报。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采编作品过程  简介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 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exac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  <w:t xml:space="preserve">    请在此栏内填报作品刊播后的社会影响，转载、引用情况。通讯社作品填报落地和采用情况。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  <w:t xml:space="preserve">    媒体融合类作品填报点击量、跟评量、互动量、转发数、点赞数、留言数等客观指标和应用新技术等情况，可另附策划文案。</w:t>
            </w:r>
          </w:p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pacing w:val="-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作者代表姓名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  号</w:t>
            </w:r>
          </w:p>
        </w:tc>
        <w:tc>
          <w:tcPr>
            <w:tcW w:w="23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762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</w:rPr>
              <w:t>请填至支行。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26F4C"/>
    <w:rsid w:val="5002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2020-03-12T08:55:00Z</dcterms:created>
  <dc:creator>XJ-pc</dc:creator>
  <cp:lastModifiedBy>XJ-pc</cp:lastModifiedBy>
  <dcterms:modified xsi:type="dcterms:W3CDTF">2020-03-12T08:56:16Z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