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综治维稳经费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项目支出绩效评价报告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153" w:rightChars="-73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（一）项目立项背景和依据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项目背景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把牢政治属性、担好维稳重任，深化‘四创’建设、构建善治体系，坚持民意导向、聚焦政法靶向，建强政法队伍、争创一流业绩”的总体思路，按照全省政法工作大提升行动的要求，坚持发展新时代“枫桥经验”，着力防范化解重大风险，不断巩固提升“长安杯”成果，加快推进社会治理现代化和政法队伍革命化、正规化、专业化、职业化建设，全力维护国家政治安全、确保社会大局稳定、促进社会公平正义、保障人民安居乐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立项依据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定发【2010】29号，关于进一步加强社会治安综合治理基层基础建设实施意见，人均不低于0.3元的标准，列支90万元；甘综治办【2016】38号，关于进一步做好信息平台建设和应用工作的通知，列支综治信息平台运行维护费15万元。甘稳发【2015】9号，《甘肃省维稳情报信息工作制度》，甘稳发【2016】5号《关于加强维稳工作规范化建设的意见》，列支信息奖励专项经费10万元，维稳工作宣传培训经费15万元，五项机制督查经费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53" w:rightChars="-7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（二）2021年度绩效目标完成及使用情况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2021年度由市财政局全额拨款，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项目经费预算投入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2021年度实际支出1000000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剩余的款项是因为项目跨年实施。经费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综治信息平台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建设；基层综治中心建设；社会稳定风险评估建设等。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153" w:rightChars="-73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（三）项目实施情况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该项目执行单位是中共定西市委政法委员会。此专项资金项目属于经常性、连续性项目。年初根据上年度实际情况进行分析测算编制经费预算；在执行过程中，采取切实可行的措施进行控制和监督，定期分析检查，发现问题及时解决；年终对执行的过程和结果进行总结，并在实施过程中严格做到专款专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二、项目绩效分析及评价结论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 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 xml:space="preserve"> （一）项目绩效目标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围绕平安定西建设，提高综治信息平台运用，破解社会治理十大难题，打击违法犯罪，持续提升基层治理水平；强化风险防控、维护政治安全，坚持源头治理、化解涉稳矛盾隐患，坚持精准预警、提高工作预见性和针对性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；通过社会综合治理，使全社会长治久安，人民安全感不断提升；通过情报信息奖励，及时预警处置突发事件，化解社会矛盾，维护社会稳定。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阶段性目标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：1. 推动市、县、乡（街道）综治中心建设、深化拓展网格化服务管理、社会治安防控体系建设，完善乡镇（街道）、村（社区）综治维稳机制。2.推动“雪亮工程”等社会治安综合治理信息化建设。3.完善群众利益协调机制，指导协调矛盾纠纷多元化解工作。4.加强国家安全战略研究，分析研判政治安全形势推动政法等部门维护政治安全工作；5.加强政治安全风险评估和监测预警，督促检查政法等部门做好政治安全风险防控、危机管控 ；6.组织开展社会稳定风险评估制度研究和具体实施。7.统筹协调政法等部门处理影响社会稳定的重大事项，推动预防、化解影响稳定的社会矛盾和风险。 8.配合好上级部门举办各类会议10次；9.配合好上级省委政法委开展各项专题调研会8次。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项目绩效评价目的，项目绩效评价框架，绩效评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价工作情况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   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 1. 绩效评价目的：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中共定西市委政法委员会2020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年度项目支出绩效评价是为了加强财政支出管理，提高财政资金使用效益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 2. 项目绩效评价框架：按照投入、过程、产出、效果的框架进行分析评价。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   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3.绩效评价工作情况：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委领导高度重视绩效工作，定期分析研究资金使用情况，每半年在公开栏公示机关预算执行情况。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项目绩效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评价结论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      项目实施情况良好，项目资金能及时到位、项目管理规范、项目经济效益、社会效益良好。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     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tbl>
      <w:tblPr>
        <w:tblpPr w:leftFromText="180" w:rightFromText="180" w:vertAnchor="text" w:horzAnchor="page" w:tblpX="595" w:tblpY="611"/>
        <w:tblOverlap w:val="never"/>
        <w:tblW w:w="10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40"/>
        <w:gridCol w:w="630"/>
        <w:gridCol w:w="1155"/>
        <w:gridCol w:w="420"/>
        <w:gridCol w:w="2040"/>
        <w:gridCol w:w="1575"/>
        <w:gridCol w:w="585"/>
        <w:gridCol w:w="900"/>
        <w:gridCol w:w="96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综治维稳经费项目支出绩效自评表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  2021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综治维稳工作经费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中共定西市委政法委员会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市州直属单位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1000000元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1000000元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1000000元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上年结转资金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其他资金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5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4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设定目标综述：围绕“把牢政治属性、担好维稳重任，深化‘四创’建设、构建善治体系，坚持民意导向、聚焦政法靶向，建强政法队伍、争创一流业绩”的总体思路，按照全省政法工作大提升行动的要求，坚持发展新时代“枫桥经验”，着力防范化解重大风险，不断巩固提升“长安杯”成果，加快推进社会治理现代化和政法队伍革命化、正规化、专业化、职业化建设，全力维护国家政治安全、确保社会大局稳定、促进社会公平正义、保障人民安居乐业。</w:t>
            </w:r>
          </w:p>
        </w:tc>
        <w:tc>
          <w:tcPr>
            <w:tcW w:w="4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年度总体目标完成情况综述：1. 推动市、县、乡（街道）综治中心建设、深化拓展网格化服务管理、社会治安防控体系建设，完善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（街道）、村（社区）综治维稳机制。2.推动基层社会治安综合治理信息化建设。3.完善群众利益协调机制，指导协调矛盾纠纷多元化解工作。4.加强国家安全战略研究，分析研判政治安全形势推动政法等部门维护政治安全工作；5.加强政治安全风险评估和监测预警，督促检查政法等部门做好政治安全风险防控、危机管控 ；6.组织开展社会稳定风险评估制度研究和具体实施。7.统筹协调政法等部门处理影响社会稳定的重大事项，推动预防、化解影响稳定的社会矛盾和风险。 8.配合好上级部门举办各类会议10次；9.配合好上级省委政法委开展各项专题调研会8次。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完成值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投入和管理目标（10）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资金投入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资金到位率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预算执行率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管理制度健全性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资金使用合规性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财务监控有效性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产出目标（50）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召开综治维稳各类会议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各科室按照年度计划，全团带队，举办综治维稳培训3次；配合好上级部门举办各类会议及系统内会议10次；配合省委政法委开展各项专题调研会8次。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按计划完成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综治中心建设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按照年度计划，推动市、县、乡（街道）综治中心建设、深化拓展网格化服务管理、社会治安防控体系建设，完善乡镇（街道）、村（社区）综治维稳机制。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按计划完成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“雪亮工程”建设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推动“雪亮工程”等社会治安综合治理信息化建设。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按计划完成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矛盾纠纷排查调处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.完善群众利益协调机制，指导协调矛盾纠纷多元化解工作。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按计划完成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按计划如数完成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严格按照相关要求开展各种会议，举办各类活动，完成各类培训及综治维稳业务工作。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按计划如数完成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活动举办的时效性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召开会议，举办各类培训工作。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效果目标（30）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提升平安定西建设工作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吸纳平安定西社会参与人数（人）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平安定西建设还需加强，平安创建能力还待提升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服务对象的满意率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处理、协调好影响社会稳定十大难题，提高平安定西知晓率。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≥98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影响力目标（10分）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立项决策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立项资料齐全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项目具有上级部门和市委的可行性研究、集体决策等证明材料。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完整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长效管理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部门地位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党的政治机关的作用更加凸显。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部门响力影响力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全力维护国家政治安全、确保社会大局稳定、促进社会公平正义、保障人民安居乐业。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扩大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部门形象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政法干部的整体形象和素质提升。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部门协作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部门协作积极性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加强与省委政法委，市委，市政府，市级政法各单位、财政、人社、县区政法部门等部门联系协作。做好政法相关工作。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积极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三、主要经验及做法、存在的问题和建议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      我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委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每年的项目资金严格按照年初部门预算计划执行，本着励行节约，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科学支出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的原则，按进度合理使用资金。在今后项目经费的使用上，将进行更严格的把控，确保每笔资金都用在实处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，取得成效。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项目绩效目标完成情况总体评价为优秀。具体表现为：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1.经济性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项目在实施过程中，严格控制经费支出，实际总支出未超出预算。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2.效率性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项目在规定的期限内实施完毕，效率高。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3.有效性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3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积极动员广大社会群众积极参与平安定西建设工作，开展了多种形式的宣传活动，平安建设知晓率达到100%。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4.可持续性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项目的后续政策、资金、人员安排和管理措施均能够保证其可持续。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五、综合评价情况及评价结论（附相关评分表）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项目综合评价结论为“非常成功”。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绩效评价结果</w:t>
      </w:r>
    </w:p>
    <w:tbl>
      <w:tblPr>
        <w:tblStyle w:val="5"/>
        <w:tblW w:w="7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260"/>
        <w:gridCol w:w="162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评价准则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分值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实际得分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绩效等级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相关性（10%）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非常满意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效  率（20%）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非常满意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效  果（40%）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非常满意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可持续性（30%）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非常满意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综合绩效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成功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六、主要经验及做法、存在的问题和建议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加强领导、完善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相关制度、合理编制预算，不断强化项目实施过程的管理和监督，是项目顺利实施的关键环节。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创新性有待加强。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安排专项资金，扩大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综治维稳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工作的覆盖面，丰富各类活动的形式、内容和可操作性。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无需要说明的其他问题。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A7849"/>
    <w:rsid w:val="180A7849"/>
    <w:rsid w:val="1EC44E90"/>
    <w:rsid w:val="1F07543D"/>
    <w:rsid w:val="27A370F0"/>
    <w:rsid w:val="2CB11948"/>
    <w:rsid w:val="383252C1"/>
    <w:rsid w:val="3A3B2401"/>
    <w:rsid w:val="3A8406DC"/>
    <w:rsid w:val="4E8005A5"/>
    <w:rsid w:val="5E390946"/>
    <w:rsid w:val="63AA6F4B"/>
    <w:rsid w:val="7F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2020-04-22T11:30:00Z</dcterms:created>
  <dc:creator>syb</dc:creator>
  <cp:lastModifiedBy>dxzfwzzb</cp:lastModifiedBy>
  <cp:lastPrinted>2021-08-06T07:31:00Z</cp:lastPrinted>
  <dcterms:modified xsi:type="dcterms:W3CDTF">2022-11-22T07:09:18Z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6A9228111C1A433B919094735D09E028</vt:lpwstr>
  </property>
</Properties>
</file>